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3"/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TERMO DE RESPONSABILIDADE </w:t>
      </w:r>
      <w:r>
        <w:rPr>
          <w:rFonts w:asciiTheme="minorHAnsi" w:hAnsiTheme="minorHAnsi" w:cstheme="minorHAnsi"/>
          <w:b/>
          <w:bCs/>
        </w:rPr>
      </w:r>
    </w:p>
    <w:p>
      <w:pPr>
        <w:pStyle w:val="763"/>
        <w:pBdr/>
        <w:spacing/>
        <w:ind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(para fins de isenção)</w:t>
      </w:r>
      <w:r>
        <w:rPr>
          <w:rFonts w:asciiTheme="minorHAnsi" w:hAnsiTheme="minorHAnsi" w:cstheme="minorHAnsi"/>
          <w:b/>
          <w:bCs/>
        </w:rPr>
      </w:r>
    </w:p>
    <w:p>
      <w:pPr>
        <w:pStyle w:val="763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 w:before="233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tabs>
          <w:tab w:val="left" w:leader="none" w:pos="9128"/>
        </w:tabs>
        <w:spacing w:line="360" w:lineRule="auto"/>
        <w:ind w:left="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 xml:space="preserve">Eu,</w:t>
      </w:r>
      <w:r>
        <w:rPr>
          <w:rFonts w:asciiTheme="minorHAnsi" w:hAnsiTheme="minorHAnsi" w:cstheme="minorHAnsi"/>
          <w:spacing w:val="-5"/>
        </w:rPr>
        <w:t xml:space="preserve"> _______________________________________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 xml:space="preserve">registrado(a) no Conselho Regional de Química da 8ª Região, sob o nº CRQ </w:t>
      </w:r>
      <w:r>
        <w:rPr>
          <w:rFonts w:asciiTheme="minorHAnsi" w:hAnsiTheme="minorHAnsi" w:cstheme="minorHAnsi"/>
        </w:rPr>
        <w:t xml:space="preserve">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 xml:space="preserve">inscrito(a) no CPF sob o nº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 xml:space="preserve">em atendimento ao disposto no art. 6º da Resolução Normativa nº 33</w:t>
      </w:r>
      <w:r>
        <w:rPr>
          <w:rFonts w:asciiTheme="minorHAnsi" w:hAnsiTheme="minorHAnsi" w:cstheme="minorHAnsi"/>
          <w:lang w:val="pt-BR"/>
        </w:rPr>
        <w:t xml:space="preserve">7</w:t>
      </w:r>
      <w:r>
        <w:rPr>
          <w:rFonts w:asciiTheme="minorHAnsi" w:hAnsiTheme="minorHAnsi" w:cstheme="minorHAnsi"/>
        </w:rPr>
        <w:t xml:space="preserve">/202</w:t>
      </w:r>
      <w:r>
        <w:rPr>
          <w:rFonts w:asciiTheme="minorHAnsi" w:hAnsiTheme="minorHAnsi" w:cstheme="minorHAnsi"/>
          <w:lang w:val="pt-BR"/>
        </w:rPr>
        <w:t xml:space="preserve">5</w:t>
      </w:r>
      <w:r>
        <w:rPr>
          <w:rFonts w:asciiTheme="minorHAnsi" w:hAnsiTheme="minorHAnsi" w:cstheme="minorHAnsi"/>
        </w:rPr>
        <w:t xml:space="preserve"> do Conselho Federal de Química – CFQ, declaro, para os devidos fins, que não estou auferindo qualquer fonte de renda.</w:t>
      </w:r>
      <w:r>
        <w:rPr>
          <w:rFonts w:asciiTheme="minorHAnsi" w:hAnsiTheme="minorHAnsi" w:cstheme="minorHAnsi"/>
        </w:rPr>
      </w:r>
    </w:p>
    <w:p>
      <w:pPr>
        <w:pStyle w:val="763"/>
        <w:pBdr/>
        <w:tabs>
          <w:tab w:val="left" w:leader="none" w:pos="9128"/>
        </w:tabs>
        <w:spacing w:line="360" w:lineRule="auto"/>
        <w:ind w:left="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 w:line="360" w:lineRule="auto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Declaro, ainda, estar ciente de que, caso volte a auferir qualquer fonte de renda, deverei comunicar imediatamente ao CRQ-VIII, sob pena de aplicação do disposto no §6º do art. 6º da referida Resolução Normativa.</w:t>
      </w:r>
      <w:r>
        <w:rPr>
          <w:rFonts w:asciiTheme="minorHAnsi" w:hAnsiTheme="minorHAnsi" w:cstheme="minorHAnsi"/>
        </w:rPr>
      </w:r>
    </w:p>
    <w:p>
      <w:pPr>
        <w:pStyle w:val="763"/>
        <w:pBdr/>
        <w:spacing w:line="360" w:lineRule="auto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spacing w:before="71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763"/>
        <w:pBdr/>
        <w:tabs>
          <w:tab w:val="left" w:leader="none" w:pos="2064"/>
          <w:tab w:val="left" w:leader="none" w:pos="5051"/>
          <w:tab w:val="left" w:leader="none" w:pos="6659"/>
        </w:tabs>
        <w:spacing w:before="1"/>
        <w:ind w:right="12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Aracaju/SE,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5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5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763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 w:before="200"/>
        <w:ind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288876</wp:posOffset>
                </wp:positionV>
                <wp:extent cx="3657600" cy="1270"/>
                <wp:effectExtent l="0" t="0" r="0" b="0"/>
                <wp:wrapTopAndBottom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 fill="norm" stroke="1" extrusionOk="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60288;o:allowoverlap:true;o:allowincell:true;mso-position-horizontal-relative:page;margin-left:168.00pt;mso-position-horizontal:absolute;mso-position-vertical-relative:text;margin-top:22.75pt;mso-position-vertical:absolute;width:288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sz w:val="20"/>
        </w:rPr>
      </w:r>
    </w:p>
    <w:p>
      <w:pPr>
        <w:pStyle w:val="763"/>
        <w:pBdr/>
        <w:spacing w:before="195"/>
        <w:ind w:right="13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DECLARANTE</w:t>
      </w:r>
      <w:r>
        <w:rPr>
          <w:rFonts w:asciiTheme="minorHAnsi" w:hAnsiTheme="minorHAnsi" w:cstheme="minorHAnsi"/>
        </w:rPr>
      </w:r>
    </w:p>
    <w:sectPr>
      <w:headerReference w:type="default" r:id="rId8"/>
      <w:footerReference w:type="default" r:id="rId9"/>
      <w:footnotePr/>
      <w:endnotePr/>
      <w:type w:val="continuous"/>
      <w:pgSz w:h="16850" w:orient="portrait" w:w="11920"/>
      <w:pgMar w:top="2940" w:right="992" w:bottom="280" w:left="1700" w:header="823" w:footer="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</w:r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</w:r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Travessa Sálvio Oliveira, 34 – Bairro Suissa – Telefone (79) 3302-7085</w:t>
    </w:r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CEP.: 49050-700 – Aracaju/SE – </w:t>
    </w:r>
    <w:hyperlink r:id="rId1" w:tooltip="http://www.crq8.org.br" w:history="1">
      <w:r>
        <w:rPr>
          <w:rStyle w:val="771"/>
          <w:rFonts w:ascii="Calibri" w:hAnsi="Calibri" w:cs="Calibri"/>
          <w:sz w:val="24"/>
          <w:szCs w:val="24"/>
        </w:rPr>
        <w:t xml:space="preserve">http://www.crq8.org.br</w:t>
      </w:r>
    </w:hyperlink>
    <w:r/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</w:r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</w:r>
    <w:r>
      <w:rPr>
        <w:rFonts w:ascii="Calibri" w:hAnsi="Calibri" w:cs="Calibri"/>
        <w:sz w:val="24"/>
        <w:szCs w:val="24"/>
      </w:rPr>
    </w:r>
  </w:p>
  <w:p>
    <w:pPr>
      <w:pStyle w:val="7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168" behindDoc="1" locked="0" layoutInCell="1" allowOverlap="1">
              <wp:simplePos x="0" y="0"/>
              <wp:positionH relativeFrom="page">
                <wp:posOffset>2827020</wp:posOffset>
              </wp:positionH>
              <wp:positionV relativeFrom="page">
                <wp:posOffset>525780</wp:posOffset>
              </wp:positionV>
              <wp:extent cx="1791803" cy="868680"/>
              <wp:effectExtent l="0" t="0" r="0" b="762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796945" cy="8711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5168;o:allowoverlap:true;o:allowincell:true;mso-position-horizontal-relative:page;margin-left:222.60pt;mso-position-horizontal:absolute;mso-position-vertical-relative:page;margin-top:41.40pt;mso-position-vertical:absolute;width:141.09pt;height:68.4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8"/>
    <w:next w:val="75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8"/>
    <w:next w:val="75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8"/>
    <w:next w:val="75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8"/>
    <w:next w:val="75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8"/>
    <w:next w:val="75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8"/>
    <w:next w:val="75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8"/>
    <w:next w:val="75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8"/>
    <w:next w:val="75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8"/>
    <w:next w:val="75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5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59"/>
    <w:link w:val="7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8"/>
    <w:next w:val="75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5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8"/>
    <w:next w:val="75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5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8"/>
    <w:next w:val="75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5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59"/>
    <w:link w:val="767"/>
    <w:uiPriority w:val="99"/>
    <w:pPr>
      <w:pBdr/>
      <w:spacing/>
      <w:ind/>
    </w:pPr>
  </w:style>
  <w:style w:type="character" w:styleId="179">
    <w:name w:val="Footer Char"/>
    <w:basedOn w:val="759"/>
    <w:link w:val="769"/>
    <w:uiPriority w:val="99"/>
    <w:pPr>
      <w:pBdr/>
      <w:spacing/>
      <w:ind/>
    </w:pPr>
  </w:style>
  <w:style w:type="paragraph" w:styleId="180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8"/>
    <w:next w:val="758"/>
    <w:uiPriority w:val="39"/>
    <w:unhideWhenUsed/>
    <w:pPr>
      <w:pBdr/>
      <w:spacing w:after="100"/>
      <w:ind/>
    </w:pPr>
  </w:style>
  <w:style w:type="paragraph" w:styleId="190">
    <w:name w:val="toc 2"/>
    <w:basedOn w:val="758"/>
    <w:next w:val="758"/>
    <w:uiPriority w:val="39"/>
    <w:unhideWhenUsed/>
    <w:pPr>
      <w:pBdr/>
      <w:spacing w:after="100"/>
      <w:ind w:left="220"/>
    </w:pPr>
  </w:style>
  <w:style w:type="paragraph" w:styleId="191">
    <w:name w:val="toc 3"/>
    <w:basedOn w:val="758"/>
    <w:next w:val="758"/>
    <w:uiPriority w:val="39"/>
    <w:unhideWhenUsed/>
    <w:pPr>
      <w:pBdr/>
      <w:spacing w:after="100"/>
      <w:ind w:left="440"/>
    </w:pPr>
  </w:style>
  <w:style w:type="paragraph" w:styleId="192">
    <w:name w:val="toc 4"/>
    <w:basedOn w:val="758"/>
    <w:next w:val="758"/>
    <w:uiPriority w:val="39"/>
    <w:unhideWhenUsed/>
    <w:pPr>
      <w:pBdr/>
      <w:spacing w:after="100"/>
      <w:ind w:left="660"/>
    </w:pPr>
  </w:style>
  <w:style w:type="paragraph" w:styleId="193">
    <w:name w:val="toc 5"/>
    <w:basedOn w:val="758"/>
    <w:next w:val="758"/>
    <w:uiPriority w:val="39"/>
    <w:unhideWhenUsed/>
    <w:pPr>
      <w:pBdr/>
      <w:spacing w:after="100"/>
      <w:ind w:left="880"/>
    </w:pPr>
  </w:style>
  <w:style w:type="paragraph" w:styleId="194">
    <w:name w:val="toc 6"/>
    <w:basedOn w:val="758"/>
    <w:next w:val="758"/>
    <w:uiPriority w:val="39"/>
    <w:unhideWhenUsed/>
    <w:pPr>
      <w:pBdr/>
      <w:spacing w:after="100"/>
      <w:ind w:left="1100"/>
    </w:pPr>
  </w:style>
  <w:style w:type="paragraph" w:styleId="195">
    <w:name w:val="toc 7"/>
    <w:basedOn w:val="758"/>
    <w:next w:val="758"/>
    <w:uiPriority w:val="39"/>
    <w:unhideWhenUsed/>
    <w:pPr>
      <w:pBdr/>
      <w:spacing w:after="100"/>
      <w:ind w:left="1320"/>
    </w:pPr>
  </w:style>
  <w:style w:type="paragraph" w:styleId="196">
    <w:name w:val="toc 8"/>
    <w:basedOn w:val="758"/>
    <w:next w:val="758"/>
    <w:uiPriority w:val="39"/>
    <w:unhideWhenUsed/>
    <w:pPr>
      <w:pBdr/>
      <w:spacing w:after="100"/>
      <w:ind w:left="1540"/>
    </w:pPr>
  </w:style>
  <w:style w:type="paragraph" w:styleId="197">
    <w:name w:val="toc 9"/>
    <w:basedOn w:val="758"/>
    <w:next w:val="75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8"/>
    <w:next w:val="758"/>
    <w:uiPriority w:val="99"/>
    <w:unhideWhenUsed/>
    <w:pPr>
      <w:pBdr/>
      <w:spacing w:after="0" w:afterAutospacing="0"/>
      <w:ind/>
    </w:pPr>
  </w:style>
  <w:style w:type="paragraph" w:styleId="758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759" w:default="1">
    <w:name w:val="Default Paragraph Font"/>
    <w:uiPriority w:val="1"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table" w:styleId="76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3">
    <w:name w:val="Body Text"/>
    <w:basedOn w:val="758"/>
    <w:uiPriority w:val="1"/>
    <w:qFormat/>
    <w:pPr>
      <w:pBdr/>
      <w:spacing/>
      <w:ind/>
    </w:pPr>
    <w:rPr>
      <w:sz w:val="24"/>
      <w:szCs w:val="24"/>
    </w:rPr>
  </w:style>
  <w:style w:type="paragraph" w:styleId="764">
    <w:name w:val="Title"/>
    <w:basedOn w:val="758"/>
    <w:uiPriority w:val="10"/>
    <w:qFormat/>
    <w:pPr>
      <w:pBdr/>
      <w:spacing w:before="9"/>
      <w:ind w:left="20"/>
    </w:pPr>
    <w:rPr>
      <w:sz w:val="28"/>
      <w:szCs w:val="28"/>
    </w:rPr>
  </w:style>
  <w:style w:type="paragraph" w:styleId="765">
    <w:name w:val="List Paragraph"/>
    <w:basedOn w:val="758"/>
    <w:uiPriority w:val="1"/>
    <w:qFormat/>
    <w:pPr>
      <w:pBdr/>
      <w:spacing/>
      <w:ind/>
    </w:pPr>
  </w:style>
  <w:style w:type="paragraph" w:styleId="766" w:customStyle="1">
    <w:name w:val="Table Paragraph"/>
    <w:basedOn w:val="758"/>
    <w:uiPriority w:val="1"/>
    <w:qFormat/>
    <w:pPr>
      <w:pBdr/>
      <w:spacing/>
      <w:ind/>
    </w:pPr>
  </w:style>
  <w:style w:type="paragraph" w:styleId="767">
    <w:name w:val="Header"/>
    <w:basedOn w:val="758"/>
    <w:link w:val="76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68" w:customStyle="1">
    <w:name w:val="Cabeçalho Char"/>
    <w:basedOn w:val="759"/>
    <w:link w:val="767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769">
    <w:name w:val="Footer"/>
    <w:basedOn w:val="758"/>
    <w:link w:val="77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70" w:customStyle="1">
    <w:name w:val="Rodapé Char"/>
    <w:basedOn w:val="759"/>
    <w:link w:val="769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character" w:styleId="771">
    <w:name w:val="Hyperlink"/>
    <w:basedOn w:val="75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2">
    <w:name w:val="Unresolved Mention"/>
    <w:basedOn w:val="75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crq8.org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2025-TERMO-DE-RESPONSABILIDADE-para-fins-de-isenção-2024.docx</dc:title>
  <dc:creator>CRQ8FINANCEIRO</dc:creator>
  <cp:revision>3</cp:revision>
  <dcterms:created xsi:type="dcterms:W3CDTF">2025-08-11T18:49:00Z</dcterms:created>
  <dcterms:modified xsi:type="dcterms:W3CDTF">2026-01-07T14:19:56Z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